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val="0"/>
        <w:wordWrap/>
        <w:spacing w:line="430" w:lineRule="exact"/>
        <w:ind w:left="0" w:leftChars="0" w:firstLine="0" w:firstLineChars="0"/>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w:t>
      </w:r>
      <w:r>
        <w:rPr>
          <w:rFonts w:hint="eastAsia" w:ascii="方正小标宋简体" w:hAnsi="方正小标宋简体" w:eastAsia="方正小标宋简体" w:cs="方正小标宋简体"/>
          <w:color w:val="auto"/>
          <w:sz w:val="44"/>
          <w:szCs w:val="44"/>
          <w:lang w:eastAsia="zh-CN"/>
        </w:rPr>
        <w:t>武夷山</w:t>
      </w:r>
      <w:r>
        <w:rPr>
          <w:rFonts w:hint="eastAsia" w:ascii="方正小标宋简体" w:hAnsi="方正小标宋简体" w:eastAsia="方正小标宋简体" w:cs="方正小标宋简体"/>
          <w:color w:val="auto"/>
          <w:sz w:val="44"/>
          <w:szCs w:val="44"/>
        </w:rPr>
        <w:t>监狱</w:t>
      </w:r>
    </w:p>
    <w:p>
      <w:pPr>
        <w:pStyle w:val="5"/>
        <w:widowControl w:val="0"/>
        <w:wordWrap/>
        <w:spacing w:line="430" w:lineRule="exact"/>
        <w:ind w:left="0" w:leftChars="0" w:firstLine="0" w:firstLineChars="0"/>
        <w:jc w:val="center"/>
        <w:textAlignment w:val="auto"/>
        <w:rPr>
          <w:rFonts w:hint="eastAsia" w:ascii="方正小标宋简体" w:hAnsi="方正小标宋简体" w:eastAsia="方正小标宋简体" w:cs="方正小标宋简体"/>
          <w:color w:val="auto"/>
          <w:sz w:val="44"/>
          <w:szCs w:val="44"/>
        </w:rPr>
      </w:pPr>
    </w:p>
    <w:p>
      <w:pPr>
        <w:pStyle w:val="5"/>
        <w:widowControl w:val="0"/>
        <w:wordWrap/>
        <w:spacing w:line="430" w:lineRule="exact"/>
        <w:ind w:left="0" w:leftChars="0" w:firstLine="0" w:firstLineChars="0"/>
        <w:jc w:val="center"/>
        <w:textAlignment w:val="auto"/>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提</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请</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lang w:eastAsia="zh-CN"/>
        </w:rPr>
        <w:t>假</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lang w:eastAsia="zh-CN"/>
        </w:rPr>
        <w:t>释</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建</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议</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书</w:t>
      </w:r>
    </w:p>
    <w:p>
      <w:pPr>
        <w:pStyle w:val="5"/>
        <w:widowControl w:val="0"/>
        <w:wordWrap/>
        <w:spacing w:line="430" w:lineRule="exact"/>
        <w:ind w:left="640" w:right="320" w:firstLine="0" w:firstLineChars="0"/>
        <w:jc w:val="right"/>
        <w:textAlignment w:val="auto"/>
        <w:rPr>
          <w:rFonts w:ascii="仿宋_GB2312"/>
          <w:b/>
          <w:bCs/>
          <w:color w:val="auto"/>
          <w:sz w:val="28"/>
        </w:rPr>
      </w:pPr>
      <w:r>
        <w:rPr>
          <w:rFonts w:hint="eastAsia" w:eastAsia="楷体_GB2312" w:cs="楷体_GB2312"/>
          <w:color w:val="auto"/>
          <w:szCs w:val="32"/>
        </w:rPr>
        <w:t>〔</w:t>
      </w:r>
      <w:r>
        <w:rPr>
          <w:rFonts w:ascii="Times New Roman" w:hAnsi="Times New Roman" w:eastAsia="楷体_GB2312" w:cs="楷体_GB2312"/>
          <w:color w:val="auto"/>
          <w:szCs w:val="32"/>
        </w:rPr>
        <w:t>20</w:t>
      </w:r>
      <w:r>
        <w:rPr>
          <w:rFonts w:hint="eastAsia" w:eastAsia="楷体_GB2312"/>
          <w:color w:val="auto"/>
          <w:szCs w:val="32"/>
          <w:lang w:val="en-US" w:eastAsia="zh-CN"/>
        </w:rPr>
        <w:t>26</w:t>
      </w:r>
      <w:r>
        <w:rPr>
          <w:rFonts w:hint="eastAsia" w:eastAsia="楷体_GB2312" w:cs="楷体_GB2312"/>
          <w:color w:val="auto"/>
          <w:szCs w:val="32"/>
        </w:rPr>
        <w:t>〕闽</w:t>
      </w:r>
      <w:r>
        <w:rPr>
          <w:rFonts w:hint="eastAsia" w:eastAsia="楷体_GB2312" w:cs="楷体_GB2312"/>
          <w:color w:val="auto"/>
          <w:szCs w:val="32"/>
          <w:lang w:val="en-US" w:eastAsia="zh-CN"/>
        </w:rPr>
        <w:t>武</w:t>
      </w:r>
      <w:r>
        <w:rPr>
          <w:rFonts w:hint="eastAsia" w:eastAsia="楷体_GB2312" w:cs="楷体_GB2312"/>
          <w:color w:val="auto"/>
          <w:szCs w:val="32"/>
        </w:rPr>
        <w:t>狱</w:t>
      </w:r>
      <w:r>
        <w:rPr>
          <w:rFonts w:hint="eastAsia" w:eastAsia="楷体_GB2312" w:cs="楷体_GB2312"/>
          <w:color w:val="auto"/>
          <w:szCs w:val="32"/>
          <w:lang w:val="en-US" w:eastAsia="zh-CN"/>
        </w:rPr>
        <w:t>假</w:t>
      </w:r>
      <w:r>
        <w:rPr>
          <w:rFonts w:hint="eastAsia" w:eastAsia="楷体_GB2312" w:cs="楷体_GB2312"/>
          <w:color w:val="auto"/>
          <w:szCs w:val="32"/>
        </w:rPr>
        <w:t>字第</w:t>
      </w:r>
      <w:r>
        <w:rPr>
          <w:rFonts w:hint="eastAsia" w:eastAsia="楷体_GB2312" w:cs="楷体_GB2312"/>
          <w:color w:val="auto"/>
          <w:szCs w:val="32"/>
          <w:lang w:val="en-US" w:eastAsia="zh-CN"/>
        </w:rPr>
        <w:t>1</w:t>
      </w:r>
      <w:r>
        <w:rPr>
          <w:rFonts w:hint="eastAsia" w:eastAsia="楷体_GB2312" w:cs="楷体_GB2312"/>
          <w:color w:val="auto"/>
          <w:szCs w:val="32"/>
        </w:rPr>
        <w:t>号</w:t>
      </w:r>
    </w:p>
    <w:p>
      <w:pPr>
        <w:widowControl w:val="0"/>
        <w:wordWrap/>
        <w:spacing w:line="430" w:lineRule="exact"/>
        <w:ind w:firstLine="640" w:firstLineChars="200"/>
        <w:jc w:val="both"/>
        <w:textAlignment w:val="auto"/>
        <w:rPr>
          <w:rFonts w:ascii="仿宋_GB2312"/>
          <w:color w:val="auto"/>
          <w:szCs w:val="32"/>
        </w:rPr>
      </w:pPr>
      <w:r>
        <w:rPr>
          <w:rFonts w:hint="eastAsia" w:ascii="仿宋_GB2312"/>
          <w:color w:val="auto"/>
          <w:szCs w:val="32"/>
        </w:rPr>
        <w:t>罪犯</w:t>
      </w:r>
      <w:r>
        <w:rPr>
          <w:rFonts w:hint="eastAsia" w:ascii="仿宋_GB2312"/>
          <w:color w:val="auto"/>
          <w:szCs w:val="32"/>
          <w:lang w:eastAsia="zh-CN"/>
        </w:rPr>
        <w:t>李学军</w:t>
      </w:r>
      <w:r>
        <w:rPr>
          <w:rFonts w:hint="eastAsia" w:ascii="仿宋_GB2312"/>
          <w:color w:val="auto"/>
          <w:szCs w:val="32"/>
        </w:rPr>
        <w:fldChar w:fldCharType="begin"/>
      </w:r>
      <w:r>
        <w:rPr>
          <w:rFonts w:hint="eastAsia" w:ascii="仿宋_GB2312"/>
          <w:color w:val="auto"/>
          <w:szCs w:val="32"/>
        </w:rPr>
        <w:instrText xml:space="preserve"> AUTOTEXTLIST  \* MERGEFORMAT </w:instrText>
      </w:r>
      <w:r>
        <w:rPr>
          <w:rFonts w:hint="eastAsia" w:ascii="仿宋_GB2312"/>
          <w:color w:val="auto"/>
          <w:szCs w:val="32"/>
        </w:rPr>
        <w:fldChar w:fldCharType="separate"/>
      </w:r>
      <w:r>
        <w:rPr>
          <w:rFonts w:hint="eastAsia" w:ascii="仿宋_GB2312"/>
          <w:color w:val="auto"/>
          <w:szCs w:val="32"/>
        </w:rPr>
        <w:fldChar w:fldCharType="end"/>
      </w:r>
      <w:r>
        <w:rPr>
          <w:rFonts w:hint="eastAsia" w:ascii="仿宋_GB2312"/>
          <w:color w:val="auto"/>
          <w:szCs w:val="32"/>
        </w:rPr>
        <w:t>，</w:t>
      </w:r>
      <w:r>
        <w:rPr>
          <w:rFonts w:hint="eastAsia" w:ascii="仿宋_GB2312"/>
          <w:color w:val="auto"/>
          <w:szCs w:val="32"/>
          <w:lang w:val="en-US" w:eastAsia="zh-CN"/>
        </w:rPr>
        <w:t>男</w:t>
      </w:r>
      <w:r>
        <w:rPr>
          <w:rFonts w:hint="eastAsia" w:ascii="仿宋_GB2312"/>
          <w:color w:val="auto"/>
          <w:szCs w:val="32"/>
        </w:rPr>
        <w:t>，</w:t>
      </w:r>
      <w:r>
        <w:rPr>
          <w:rFonts w:hint="eastAsia" w:ascii="仿宋_GB2312"/>
          <w:color w:val="auto"/>
          <w:szCs w:val="32"/>
          <w:lang w:val="en-US" w:eastAsia="zh-CN"/>
        </w:rPr>
        <w:t>1980</w:t>
      </w:r>
      <w:r>
        <w:rPr>
          <w:rFonts w:hint="eastAsia" w:ascii="仿宋_GB2312"/>
          <w:color w:val="auto"/>
          <w:szCs w:val="32"/>
        </w:rPr>
        <w:t>年</w:t>
      </w:r>
      <w:r>
        <w:rPr>
          <w:rFonts w:hint="eastAsia" w:ascii="仿宋_GB2312"/>
          <w:color w:val="auto"/>
          <w:szCs w:val="32"/>
          <w:lang w:val="en-US" w:eastAsia="zh-CN"/>
        </w:rPr>
        <w:t>12</w:t>
      </w:r>
      <w:r>
        <w:rPr>
          <w:rFonts w:hint="eastAsia" w:ascii="仿宋_GB2312"/>
          <w:color w:val="auto"/>
          <w:szCs w:val="32"/>
        </w:rPr>
        <w:t>月</w:t>
      </w:r>
      <w:r>
        <w:rPr>
          <w:rFonts w:hint="eastAsia" w:ascii="仿宋_GB2312"/>
          <w:color w:val="auto"/>
          <w:szCs w:val="32"/>
          <w:lang w:val="en-US" w:eastAsia="zh-CN"/>
        </w:rPr>
        <w:t>22</w:t>
      </w:r>
      <w:r>
        <w:rPr>
          <w:rFonts w:hint="eastAsia" w:ascii="仿宋_GB2312"/>
          <w:color w:val="auto"/>
          <w:szCs w:val="32"/>
        </w:rPr>
        <w:t>日出生，汉族，</w:t>
      </w:r>
      <w:r>
        <w:rPr>
          <w:rFonts w:hint="eastAsia" w:ascii="仿宋_GB2312"/>
          <w:color w:val="auto"/>
          <w:szCs w:val="32"/>
          <w:lang w:val="en-US" w:eastAsia="zh-CN"/>
        </w:rPr>
        <w:t>大学文化，</w:t>
      </w:r>
      <w:r>
        <w:rPr>
          <w:rFonts w:hint="eastAsia" w:ascii="仿宋_GB2312"/>
          <w:color w:val="auto"/>
          <w:szCs w:val="32"/>
          <w:lang w:eastAsia="zh-CN"/>
        </w:rPr>
        <w:t>住福建省福州市鼓楼区</w:t>
      </w:r>
      <w:r>
        <w:rPr>
          <w:rFonts w:hint="eastAsia" w:ascii="仿宋_GB2312"/>
          <w:color w:val="auto"/>
          <w:szCs w:val="32"/>
        </w:rPr>
        <w:t>，捕前系</w:t>
      </w:r>
      <w:r>
        <w:rPr>
          <w:rFonts w:hint="eastAsia" w:ascii="仿宋_GB2312"/>
          <w:color w:val="auto"/>
          <w:szCs w:val="32"/>
          <w:lang w:eastAsia="zh-CN"/>
        </w:rPr>
        <w:t>无业</w:t>
      </w:r>
      <w:r>
        <w:rPr>
          <w:rFonts w:hint="eastAsia" w:ascii="仿宋_GB2312"/>
          <w:color w:val="auto"/>
          <w:szCs w:val="32"/>
        </w:rPr>
        <w:t>。</w:t>
      </w:r>
      <w:r>
        <w:rPr>
          <w:rFonts w:hint="eastAsia" w:ascii="仿宋_GB2312"/>
          <w:color w:val="auto"/>
          <w:szCs w:val="32"/>
          <w:lang w:val="en-US" w:eastAsia="zh-CN"/>
        </w:rPr>
        <w:t>现在福建省武夷山监狱五监区（大队）十五分监区（中队）服刑。</w:t>
      </w:r>
    </w:p>
    <w:p>
      <w:pPr>
        <w:widowControl w:val="0"/>
        <w:wordWrap/>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eastAsia="zh-CN"/>
        </w:rPr>
        <w:t>福建省福州市晋安区</w:t>
      </w:r>
      <w:r>
        <w:rPr>
          <w:rFonts w:hint="eastAsia" w:ascii="仿宋_GB2312"/>
          <w:color w:val="auto"/>
          <w:szCs w:val="32"/>
        </w:rPr>
        <w:t>人民法院于</w:t>
      </w:r>
      <w:r>
        <w:rPr>
          <w:rFonts w:hint="eastAsia" w:ascii="仿宋_GB2312"/>
          <w:color w:val="auto"/>
          <w:szCs w:val="32"/>
          <w:lang w:val="en-US" w:eastAsia="zh-CN"/>
        </w:rPr>
        <w:t>2024</w:t>
      </w:r>
      <w:r>
        <w:rPr>
          <w:rFonts w:hint="eastAsia" w:ascii="仿宋_GB2312"/>
          <w:color w:val="auto"/>
          <w:szCs w:val="32"/>
        </w:rPr>
        <w:t>年</w:t>
      </w:r>
      <w:r>
        <w:rPr>
          <w:rFonts w:hint="eastAsia" w:ascii="仿宋_GB2312"/>
          <w:color w:val="auto"/>
          <w:szCs w:val="32"/>
          <w:lang w:val="en-US" w:eastAsia="zh-CN"/>
        </w:rPr>
        <w:t>4</w:t>
      </w:r>
      <w:r>
        <w:rPr>
          <w:rFonts w:hint="eastAsia" w:ascii="仿宋_GB2312"/>
          <w:color w:val="auto"/>
          <w:szCs w:val="32"/>
        </w:rPr>
        <w:t>月</w:t>
      </w:r>
      <w:r>
        <w:rPr>
          <w:rFonts w:hint="eastAsia" w:ascii="仿宋_GB2312"/>
          <w:color w:val="auto"/>
          <w:szCs w:val="32"/>
          <w:lang w:val="en-US" w:eastAsia="zh-CN"/>
        </w:rPr>
        <w:t>9</w:t>
      </w:r>
      <w:r>
        <w:rPr>
          <w:rFonts w:hint="eastAsia" w:ascii="仿宋_GB2312"/>
          <w:color w:val="auto"/>
          <w:szCs w:val="32"/>
        </w:rPr>
        <w:t>日作出（</w:t>
      </w:r>
      <w:r>
        <w:rPr>
          <w:rFonts w:hint="eastAsia" w:ascii="仿宋_GB2312"/>
          <w:color w:val="auto"/>
          <w:szCs w:val="32"/>
          <w:lang w:val="en-US" w:eastAsia="zh-CN"/>
        </w:rPr>
        <w:t>2023</w:t>
      </w:r>
      <w:r>
        <w:rPr>
          <w:rFonts w:hint="eastAsia" w:ascii="仿宋_GB2312"/>
          <w:color w:val="auto"/>
          <w:szCs w:val="32"/>
        </w:rPr>
        <w:t>）</w:t>
      </w:r>
      <w:r>
        <w:rPr>
          <w:rFonts w:hint="eastAsia" w:ascii="仿宋_GB2312"/>
          <w:color w:val="auto"/>
          <w:szCs w:val="32"/>
          <w:lang w:eastAsia="zh-CN"/>
        </w:rPr>
        <w:t>闽</w:t>
      </w:r>
      <w:r>
        <w:rPr>
          <w:rFonts w:hint="eastAsia" w:ascii="仿宋_GB2312"/>
          <w:color w:val="auto"/>
          <w:szCs w:val="32"/>
          <w:lang w:val="en-US" w:eastAsia="zh-CN"/>
        </w:rPr>
        <w:t>0111刑初1064号</w:t>
      </w:r>
      <w:r>
        <w:rPr>
          <w:rFonts w:hint="eastAsia" w:ascii="仿宋_GB2312"/>
          <w:color w:val="auto"/>
          <w:szCs w:val="32"/>
        </w:rPr>
        <w:t>刑事判决，以被告人</w:t>
      </w:r>
      <w:r>
        <w:rPr>
          <w:rFonts w:hint="eastAsia" w:ascii="仿宋_GB2312"/>
          <w:color w:val="auto"/>
          <w:szCs w:val="32"/>
          <w:lang w:eastAsia="zh-CN"/>
        </w:rPr>
        <w:t>李学军</w:t>
      </w:r>
      <w:r>
        <w:rPr>
          <w:rFonts w:hint="eastAsia" w:ascii="仿宋_GB2312"/>
          <w:color w:val="auto"/>
          <w:szCs w:val="32"/>
        </w:rPr>
        <w:t>犯</w:t>
      </w:r>
      <w:r>
        <w:rPr>
          <w:rFonts w:hint="eastAsia" w:ascii="仿宋_GB2312"/>
          <w:color w:val="auto"/>
          <w:szCs w:val="32"/>
          <w:lang w:eastAsia="zh-CN"/>
        </w:rPr>
        <w:t>开设赌场罪</w:t>
      </w:r>
      <w:r>
        <w:rPr>
          <w:rFonts w:hint="eastAsia" w:ascii="仿宋_GB2312"/>
          <w:color w:val="auto"/>
          <w:szCs w:val="32"/>
          <w:lang w:val="en-US" w:eastAsia="zh-CN"/>
        </w:rPr>
        <w:t>，判处有期徒刑二年十个月，并处罚金人民币一万八千元。继续追缴被告人李学军、林敏的违法所得人民币四万元，予以没收，上缴国库。被告人不服，提出上诉。福建省福州市中级人民法院于2024年7月10日作出（2024）闽01刑终458号刑事裁定，驳回上诉，维持原判。判决发生法律效力后，于2024年7月29日交付福建省武夷山监狱执行（刑期自2024年4月9日起至2027年1月3日止）。现属普管级罪犯。</w:t>
      </w:r>
    </w:p>
    <w:p>
      <w:pPr>
        <w:widowControl w:val="0"/>
        <w:wordWrap/>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en-US" w:eastAsia="zh-CN"/>
        </w:rPr>
        <w:t>犯罪事实：被告人李学军于2019年1月至2022年1月期间，伙同他人以营利为目的，利用“六合彩”形式开设赌场。</w:t>
      </w:r>
    </w:p>
    <w:p>
      <w:pPr>
        <w:widowControl w:val="0"/>
        <w:wordWrap/>
        <w:spacing w:line="430" w:lineRule="exact"/>
        <w:ind w:firstLine="640" w:firstLineChars="200"/>
        <w:jc w:val="both"/>
        <w:textAlignment w:val="auto"/>
        <w:rPr>
          <w:rFonts w:ascii="仿宋_GB2312" w:cs="仿宋_GB2312"/>
          <w:color w:val="auto"/>
          <w:szCs w:val="32"/>
        </w:rPr>
      </w:pPr>
      <w:r>
        <w:rPr>
          <w:rFonts w:hint="eastAsia" w:ascii="仿宋_GB2312"/>
          <w:color w:val="auto"/>
          <w:szCs w:val="32"/>
          <w:lang w:val="en-US" w:eastAsia="zh-CN"/>
        </w:rPr>
        <w:t>该犯</w:t>
      </w:r>
      <w:r>
        <w:rPr>
          <w:rFonts w:hint="eastAsia" w:ascii="仿宋_GB2312"/>
          <w:color w:val="auto"/>
          <w:szCs w:val="32"/>
          <w:lang w:val="zh-CN" w:eastAsia="zh-CN"/>
        </w:rPr>
        <w:t>自入监以来</w:t>
      </w:r>
      <w:r>
        <w:rPr>
          <w:rFonts w:hint="eastAsia" w:ascii="仿宋_GB2312"/>
          <w:color w:val="auto"/>
          <w:szCs w:val="32"/>
          <w:lang w:val="en-US" w:eastAsia="zh-CN"/>
        </w:rPr>
        <w:t>确有悔改表现，具体事实如下：</w:t>
      </w:r>
    </w:p>
    <w:p>
      <w:pPr>
        <w:pStyle w:val="5"/>
        <w:widowControl w:val="0"/>
        <w:wordWrap/>
        <w:autoSpaceDE w:val="0"/>
        <w:autoSpaceDN w:val="0"/>
        <w:adjustRightInd w:val="0"/>
        <w:spacing w:line="430" w:lineRule="exact"/>
        <w:jc w:val="both"/>
        <w:textAlignment w:val="auto"/>
        <w:rPr>
          <w:rFonts w:ascii="仿宋_GB2312" w:hAnsi="仿宋"/>
          <w:iCs/>
          <w:color w:val="auto"/>
          <w:kern w:val="2"/>
          <w:szCs w:val="32"/>
        </w:rPr>
      </w:pPr>
      <w:r>
        <w:rPr>
          <w:rFonts w:hint="eastAsia" w:ascii="仿宋_GB2312" w:hAnsi="仿宋"/>
          <w:iCs/>
          <w:color w:val="auto"/>
          <w:kern w:val="2"/>
          <w:szCs w:val="32"/>
        </w:rPr>
        <w:t>认罪悔罪：</w:t>
      </w:r>
      <w:r>
        <w:rPr>
          <w:rFonts w:hint="eastAsia" w:ascii="仿宋_GB2312" w:hAnsi="仿宋"/>
          <w:iCs/>
          <w:color w:val="auto"/>
          <w:kern w:val="2"/>
          <w:szCs w:val="32"/>
          <w:lang w:val="en-US" w:eastAsia="zh-CN"/>
        </w:rPr>
        <w:t>能服从法院判决，自书认罪悔罪书</w:t>
      </w:r>
      <w:r>
        <w:rPr>
          <w:rFonts w:hint="eastAsia" w:ascii="仿宋_GB2312" w:hAnsi="仿宋"/>
          <w:iCs/>
          <w:color w:val="auto"/>
          <w:kern w:val="2"/>
          <w:szCs w:val="32"/>
        </w:rPr>
        <w:t>。</w:t>
      </w:r>
    </w:p>
    <w:p>
      <w:pPr>
        <w:pStyle w:val="5"/>
        <w:widowControl w:val="0"/>
        <w:wordWrap/>
        <w:autoSpaceDE w:val="0"/>
        <w:autoSpaceDN w:val="0"/>
        <w:adjustRightInd w:val="0"/>
        <w:spacing w:line="430" w:lineRule="exact"/>
        <w:jc w:val="both"/>
        <w:textAlignment w:val="auto"/>
        <w:rPr>
          <w:rFonts w:ascii="仿宋_GB2312" w:hAnsi="仿宋" w:cs="宋体"/>
          <w:color w:val="auto"/>
          <w:szCs w:val="32"/>
          <w:lang w:val="zh-CN"/>
        </w:rPr>
      </w:pPr>
      <w:r>
        <w:rPr>
          <w:rFonts w:hint="eastAsia" w:ascii="仿宋_GB2312" w:hAnsi="仿宋"/>
          <w:color w:val="auto"/>
          <w:szCs w:val="32"/>
        </w:rPr>
        <w:t>遵守监规</w:t>
      </w:r>
      <w:r>
        <w:rPr>
          <w:rFonts w:hint="eastAsia" w:ascii="仿宋_GB2312" w:hAnsi="仿宋" w:cs="宋体"/>
          <w:color w:val="auto"/>
          <w:szCs w:val="32"/>
          <w:lang w:val="zh-CN"/>
        </w:rPr>
        <w:t>：能遵守法律法规及监规纪律，接受教育改造。</w:t>
      </w:r>
    </w:p>
    <w:p>
      <w:pPr>
        <w:pStyle w:val="5"/>
        <w:widowControl w:val="0"/>
        <w:wordWrap/>
        <w:autoSpaceDE w:val="0"/>
        <w:autoSpaceDN w:val="0"/>
        <w:adjustRightInd w:val="0"/>
        <w:spacing w:line="430" w:lineRule="exact"/>
        <w:ind w:left="640" w:firstLine="0" w:firstLineChars="0"/>
        <w:jc w:val="both"/>
        <w:textAlignment w:val="auto"/>
        <w:rPr>
          <w:rFonts w:ascii="仿宋_GB2312" w:hAnsi="仿宋" w:cs="宋体"/>
          <w:color w:val="auto"/>
          <w:szCs w:val="32"/>
          <w:lang w:val="zh-CN"/>
        </w:rPr>
      </w:pPr>
      <w:r>
        <w:rPr>
          <w:rFonts w:hint="eastAsia" w:ascii="仿宋_GB2312" w:hAnsi="仿宋" w:cs="宋体"/>
          <w:color w:val="auto"/>
          <w:szCs w:val="32"/>
          <w:lang w:val="zh-CN"/>
        </w:rPr>
        <w:t>学习情况：能参加</w:t>
      </w:r>
      <w:r>
        <w:rPr>
          <w:rFonts w:hint="eastAsia" w:ascii="仿宋_GB2312" w:hAnsi="仿宋" w:cs="宋体"/>
          <w:color w:val="auto"/>
          <w:szCs w:val="32"/>
        </w:rPr>
        <w:t>思想、文化、职业技术</w:t>
      </w:r>
      <w:r>
        <w:rPr>
          <w:rFonts w:hint="eastAsia" w:ascii="仿宋_GB2312" w:hAnsi="仿宋" w:cs="宋体"/>
          <w:color w:val="auto"/>
          <w:szCs w:val="32"/>
          <w:lang w:val="en-US" w:eastAsia="zh-CN"/>
        </w:rPr>
        <w:t>教育</w:t>
      </w:r>
      <w:r>
        <w:rPr>
          <w:rFonts w:hint="eastAsia" w:ascii="仿宋_GB2312" w:hAnsi="仿宋" w:cs="宋体"/>
          <w:color w:val="auto"/>
          <w:szCs w:val="32"/>
          <w:lang w:val="zh-CN"/>
        </w:rPr>
        <w:t>。</w:t>
      </w:r>
    </w:p>
    <w:p>
      <w:pPr>
        <w:pStyle w:val="5"/>
        <w:widowControl w:val="0"/>
        <w:wordWrap/>
        <w:spacing w:line="430" w:lineRule="exact"/>
        <w:ind w:firstLine="640"/>
        <w:jc w:val="both"/>
        <w:textAlignment w:val="auto"/>
        <w:rPr>
          <w:rFonts w:hint="eastAsia" w:ascii="仿宋_GB2312" w:hAnsi="仿宋" w:cs="宋体"/>
          <w:color w:val="auto"/>
          <w:szCs w:val="32"/>
          <w:lang w:val="zh-CN"/>
        </w:rPr>
      </w:pPr>
      <w:r>
        <w:rPr>
          <w:rFonts w:hint="eastAsia" w:ascii="仿宋_GB2312" w:hAnsi="仿宋" w:cs="宋体"/>
          <w:color w:val="auto"/>
          <w:szCs w:val="32"/>
          <w:lang w:val="zh-CN"/>
        </w:rPr>
        <w:t>劳动改造：能参加劳动，努力完成</w:t>
      </w:r>
      <w:r>
        <w:rPr>
          <w:rFonts w:hint="eastAsia" w:ascii="仿宋_GB2312" w:hAnsi="仿宋" w:cs="宋体"/>
          <w:color w:val="auto"/>
          <w:szCs w:val="32"/>
          <w:lang w:val="en-US" w:eastAsia="zh-CN"/>
        </w:rPr>
        <w:t>劳动</w:t>
      </w:r>
      <w:r>
        <w:rPr>
          <w:rFonts w:hint="eastAsia" w:ascii="仿宋_GB2312" w:hAnsi="仿宋" w:cs="宋体"/>
          <w:color w:val="auto"/>
          <w:szCs w:val="32"/>
          <w:lang w:val="zh-CN"/>
        </w:rPr>
        <w:t>任务。</w:t>
      </w:r>
    </w:p>
    <w:p>
      <w:pPr>
        <w:pStyle w:val="5"/>
        <w:widowControl w:val="0"/>
        <w:wordWrap/>
        <w:spacing w:line="430" w:lineRule="exact"/>
        <w:ind w:firstLine="640"/>
        <w:jc w:val="both"/>
        <w:textAlignment w:val="auto"/>
        <w:rPr>
          <w:rFonts w:ascii="仿宋_GB2312"/>
          <w:color w:val="auto"/>
          <w:szCs w:val="32"/>
        </w:rPr>
      </w:pPr>
      <w:r>
        <w:rPr>
          <w:rFonts w:hint="eastAsia" w:ascii="仿宋_GB2312" w:hAnsi="仿宋" w:cs="宋体"/>
          <w:color w:val="auto"/>
          <w:szCs w:val="32"/>
          <w:lang w:val="zh-CN"/>
        </w:rPr>
        <w:t>奖惩情况：</w:t>
      </w:r>
      <w:r>
        <w:rPr>
          <w:rFonts w:hint="eastAsia" w:ascii="仿宋_GB2312" w:hAnsi="仿宋_GB2312" w:cs="仿宋_GB2312"/>
          <w:bCs/>
          <w:color w:val="auto"/>
          <w:szCs w:val="32"/>
          <w:lang w:val="en-US" w:eastAsia="zh-CN"/>
        </w:rPr>
        <w:t>该犯考核期2024年7月29日至2025年10月累计获考核积分1350.6分，表扬2次；考核期内无违规扣分。</w:t>
      </w:r>
    </w:p>
    <w:p>
      <w:pPr>
        <w:widowControl w:val="0"/>
        <w:numPr>
          <w:ilvl w:val="0"/>
          <w:numId w:val="0"/>
        </w:numPr>
        <w:wordWrap/>
        <w:spacing w:line="430" w:lineRule="exact"/>
        <w:ind w:firstLine="640" w:firstLineChars="200"/>
        <w:jc w:val="both"/>
        <w:textAlignment w:val="auto"/>
        <w:rPr>
          <w:rFonts w:hint="eastAsia"/>
          <w:color w:val="auto"/>
          <w:szCs w:val="32"/>
          <w:lang w:val="en-US" w:eastAsia="zh-CN"/>
        </w:rPr>
      </w:pPr>
      <w:r>
        <w:rPr>
          <w:rFonts w:hint="eastAsia"/>
          <w:color w:val="auto"/>
          <w:szCs w:val="32"/>
          <w:lang w:val="en-US" w:eastAsia="zh-CN"/>
        </w:rPr>
        <w:t>该犯原判财产性判项</w:t>
      </w:r>
      <w:r>
        <w:rPr>
          <w:rFonts w:hint="eastAsia"/>
          <w:color w:val="auto"/>
          <w:szCs w:val="32"/>
        </w:rPr>
        <w:t>已</w:t>
      </w:r>
      <w:r>
        <w:rPr>
          <w:rFonts w:hint="eastAsia"/>
          <w:color w:val="auto"/>
          <w:szCs w:val="32"/>
          <w:lang w:val="en-US" w:eastAsia="zh-CN"/>
        </w:rPr>
        <w:t>履行</w:t>
      </w:r>
      <w:r>
        <w:rPr>
          <w:rFonts w:hint="eastAsia"/>
          <w:color w:val="auto"/>
          <w:szCs w:val="32"/>
        </w:rPr>
        <w:t>人民币</w:t>
      </w:r>
      <w:r>
        <w:rPr>
          <w:rFonts w:hint="eastAsia" w:ascii="仿宋_GB2312"/>
          <w:color w:val="auto"/>
          <w:szCs w:val="32"/>
          <w:lang w:val="en-US" w:eastAsia="zh-CN"/>
        </w:rPr>
        <w:t>58000</w:t>
      </w:r>
      <w:r>
        <w:rPr>
          <w:rFonts w:hint="eastAsia" w:ascii="仿宋_GB2312"/>
          <w:color w:val="auto"/>
          <w:szCs w:val="32"/>
        </w:rPr>
        <w:t>元</w:t>
      </w:r>
      <w:r>
        <w:rPr>
          <w:rFonts w:hint="eastAsia"/>
          <w:color w:val="auto"/>
          <w:szCs w:val="32"/>
          <w:lang w:eastAsia="zh-CN"/>
        </w:rPr>
        <w:t>。</w:t>
      </w:r>
      <w:r>
        <w:rPr>
          <w:rFonts w:hint="eastAsia"/>
          <w:color w:val="auto"/>
          <w:szCs w:val="32"/>
          <w:lang w:val="en-US" w:eastAsia="zh-CN"/>
        </w:rPr>
        <w:t>财产性判项已全部履行。</w:t>
      </w:r>
    </w:p>
    <w:p>
      <w:pPr>
        <w:widowControl w:val="0"/>
        <w:numPr>
          <w:ilvl w:val="0"/>
          <w:numId w:val="0"/>
        </w:numPr>
        <w:wordWrap/>
        <w:spacing w:line="430" w:lineRule="exact"/>
        <w:ind w:firstLine="640" w:firstLineChars="200"/>
        <w:jc w:val="both"/>
        <w:textAlignment w:val="auto"/>
        <w:rPr>
          <w:rFonts w:hint="eastAsia"/>
          <w:color w:val="auto"/>
          <w:szCs w:val="32"/>
          <w:lang w:val="en-US" w:eastAsia="zh-CN"/>
        </w:rPr>
      </w:pPr>
      <w:r>
        <w:rPr>
          <w:rFonts w:hint="eastAsia"/>
          <w:color w:val="auto"/>
          <w:szCs w:val="32"/>
          <w:lang w:val="en-US" w:eastAsia="zh-CN"/>
        </w:rPr>
        <w:t>福建省福州市鼓楼区社区矫正管理局于2025年9月26日作出的（2025）鼓矫调评字第57号调查评估意见书载明：罪犯李学军的户籍地和居住地均为福建省福州市鼓楼区福寿巷13号1座604单元；居住地所属的福州市鼓楼区温泉街道汤边社区愿意接纳李学军在该社区实施社区矫正，愿意配合监管李学军。综合以上情况，评估意见为：李学军适宜适用社区矫正。</w:t>
      </w:r>
    </w:p>
    <w:p>
      <w:pPr>
        <w:widowControl w:val="0"/>
        <w:numPr>
          <w:ilvl w:val="0"/>
          <w:numId w:val="0"/>
        </w:numPr>
        <w:wordWrap/>
        <w:spacing w:line="430" w:lineRule="exact"/>
        <w:ind w:firstLine="640" w:firstLineChars="200"/>
        <w:jc w:val="both"/>
        <w:textAlignment w:val="auto"/>
        <w:rPr>
          <w:rFonts w:hint="eastAsia"/>
          <w:color w:val="auto"/>
          <w:szCs w:val="32"/>
          <w:lang w:val="en-US" w:eastAsia="zh-CN"/>
        </w:rPr>
      </w:pPr>
      <w:r>
        <w:rPr>
          <w:rFonts w:hint="eastAsia"/>
          <w:color w:val="auto"/>
          <w:szCs w:val="32"/>
          <w:lang w:val="en-US" w:eastAsia="zh-CN"/>
        </w:rPr>
        <w:t>该犯已执行原判刑期二分之一，在福建省福州市鼓楼区内有居住条件。其假释担保人为其妻子***</w:t>
      </w:r>
      <w:bookmarkStart w:id="0" w:name="_GoBack"/>
      <w:bookmarkEnd w:id="0"/>
      <w:r>
        <w:rPr>
          <w:rFonts w:hint="eastAsia"/>
          <w:color w:val="auto"/>
          <w:szCs w:val="32"/>
          <w:lang w:val="en-US" w:eastAsia="zh-CN"/>
        </w:rPr>
        <w:t>，有正常收入且家庭经济条件正常，愿意承担假释帮教、监管责任。所居住的社区同意协助监管帮教。该犯的在犯罪风险评估为一般危险等级。符合“没有再犯罪的危险”的标准。</w:t>
      </w:r>
    </w:p>
    <w:p>
      <w:pPr>
        <w:keepNext w:val="0"/>
        <w:keepLines w:val="0"/>
        <w:pageBreakBefore w:val="0"/>
        <w:widowControl w:val="0"/>
        <w:kinsoku/>
        <w:wordWrap/>
        <w:overflowPunct/>
        <w:topLinePunct w:val="0"/>
        <w:autoSpaceDE w:val="0"/>
        <w:autoSpaceDN w:val="0"/>
        <w:bidi w:val="0"/>
        <w:adjustRightInd w:val="0"/>
        <w:snapToGrid/>
        <w:spacing w:line="440" w:lineRule="exact"/>
        <w:ind w:firstLine="640" w:firstLineChars="200"/>
        <w:jc w:val="both"/>
        <w:textAlignment w:val="auto"/>
        <w:rPr>
          <w:rFonts w:hint="eastAsia" w:ascii="仿宋_GB2312" w:hAnsi="仿宋" w:eastAsia="仿宋_GB2312" w:cs="Times New Roman"/>
          <w:color w:val="auto"/>
          <w:kern w:val="32"/>
          <w:sz w:val="32"/>
          <w:szCs w:val="32"/>
          <w:lang w:val="en-US" w:eastAsia="zh-CN" w:bidi="ar-SA"/>
        </w:rPr>
      </w:pPr>
      <w:r>
        <w:rPr>
          <w:rFonts w:hint="eastAsia" w:ascii="仿宋_GB2312" w:hAnsi="仿宋" w:eastAsia="仿宋_GB2312" w:cs="Times New Roman"/>
          <w:color w:val="auto"/>
          <w:kern w:val="32"/>
          <w:sz w:val="32"/>
          <w:szCs w:val="32"/>
          <w:lang w:val="en-US" w:eastAsia="zh-CN" w:bidi="ar-SA"/>
        </w:rPr>
        <w:t>本案于2026年1月10日至2026年1月16日在狱内公示未收到不同意见。</w:t>
      </w:r>
    </w:p>
    <w:p>
      <w:pPr>
        <w:widowControl w:val="0"/>
        <w:wordWrap/>
        <w:spacing w:line="430" w:lineRule="exact"/>
        <w:ind w:firstLine="640" w:firstLineChars="200"/>
        <w:jc w:val="both"/>
        <w:textAlignment w:val="auto"/>
        <w:rPr>
          <w:rFonts w:ascii="仿宋_GB2312" w:cs="仿宋_GB2312"/>
          <w:color w:val="auto"/>
          <w:szCs w:val="32"/>
        </w:rPr>
      </w:pPr>
      <w:r>
        <w:rPr>
          <w:rFonts w:hint="eastAsia"/>
          <w:color w:val="auto"/>
          <w:szCs w:val="32"/>
        </w:rPr>
        <w:t>因此，依照</w:t>
      </w:r>
      <w:r>
        <w:rPr>
          <w:rFonts w:hint="eastAsia" w:ascii="仿宋_GB2312" w:hAnsi="仿宋_GB2312" w:cs="仿宋_GB2312"/>
          <w:color w:val="auto"/>
          <w:szCs w:val="32"/>
        </w:rPr>
        <w:t>《中华人民共和国刑法》第八十一条、《中华人民共和国刑事诉讼法》第二百七十三条第二款</w:t>
      </w:r>
      <w:r>
        <w:rPr>
          <w:rFonts w:hint="eastAsia" w:ascii="仿宋_GB2312" w:hAnsi="仿宋_GB2312" w:cs="仿宋_GB2312"/>
          <w:color w:val="auto"/>
          <w:szCs w:val="32"/>
          <w:lang w:val="en-US" w:eastAsia="zh-CN"/>
        </w:rPr>
        <w:t>和</w:t>
      </w:r>
      <w:r>
        <w:rPr>
          <w:rFonts w:hint="eastAsia" w:ascii="仿宋_GB2312" w:hAnsi="仿宋_GB2312" w:cs="仿宋_GB2312"/>
          <w:color w:val="auto"/>
          <w:szCs w:val="32"/>
        </w:rPr>
        <w:t>《中华人民共和国监狱法》第三十二条规定，建议对罪犯</w:t>
      </w:r>
      <w:r>
        <w:rPr>
          <w:rFonts w:hint="eastAsia" w:ascii="仿宋_GB2312" w:hAnsi="仿宋_GB2312" w:cs="仿宋_GB2312"/>
          <w:color w:val="auto"/>
          <w:szCs w:val="32"/>
          <w:lang w:eastAsia="zh-CN"/>
        </w:rPr>
        <w:t>李学军</w:t>
      </w:r>
      <w:r>
        <w:rPr>
          <w:rFonts w:hint="eastAsia" w:ascii="仿宋_GB2312" w:hAnsi="仿宋_GB2312" w:cs="仿宋_GB2312"/>
          <w:color w:val="auto"/>
          <w:szCs w:val="32"/>
        </w:rPr>
        <w:t>予以假释。</w:t>
      </w:r>
      <w:r>
        <w:rPr>
          <w:rFonts w:hint="eastAsia"/>
          <w:color w:val="auto"/>
          <w:szCs w:val="32"/>
        </w:rPr>
        <w:t>特提请你院审理裁定。</w:t>
      </w:r>
    </w:p>
    <w:p>
      <w:pPr>
        <w:pStyle w:val="4"/>
        <w:widowControl w:val="0"/>
        <w:wordWrap/>
        <w:spacing w:line="430" w:lineRule="exact"/>
        <w:ind w:right="-48" w:rightChars="-15" w:firstLine="640" w:firstLineChars="200"/>
        <w:jc w:val="both"/>
        <w:textAlignment w:val="auto"/>
        <w:rPr>
          <w:color w:val="auto"/>
          <w:szCs w:val="32"/>
        </w:rPr>
      </w:pPr>
      <w:r>
        <w:rPr>
          <w:rFonts w:hint="eastAsia"/>
          <w:color w:val="auto"/>
          <w:szCs w:val="32"/>
        </w:rPr>
        <w:t>此致</w:t>
      </w:r>
    </w:p>
    <w:p>
      <w:pPr>
        <w:pStyle w:val="5"/>
        <w:widowControl w:val="0"/>
        <w:wordWrap/>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val="en-US" w:eastAsia="zh-CN"/>
        </w:rPr>
        <w:t>南平</w:t>
      </w:r>
      <w:r>
        <w:rPr>
          <w:rFonts w:hint="eastAsia"/>
          <w:color w:val="auto"/>
          <w:szCs w:val="32"/>
        </w:rPr>
        <w:t>市中级人民法院</w:t>
      </w:r>
    </w:p>
    <w:p>
      <w:pPr>
        <w:pStyle w:val="5"/>
        <w:widowControl w:val="0"/>
        <w:wordWrap/>
        <w:spacing w:line="430" w:lineRule="exact"/>
        <w:ind w:left="640" w:firstLine="0" w:firstLineChars="0"/>
        <w:jc w:val="both"/>
        <w:textAlignment w:val="auto"/>
        <w:rPr>
          <w:rFonts w:hint="eastAsia" w:cs="仿宋_GB2312"/>
          <w:color w:val="auto"/>
          <w:szCs w:val="32"/>
        </w:rPr>
      </w:pPr>
    </w:p>
    <w:p>
      <w:pPr>
        <w:pStyle w:val="5"/>
        <w:widowControl w:val="0"/>
        <w:wordWrap/>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eastAsia="zh-CN"/>
        </w:rPr>
        <w:t>李学军</w:t>
      </w:r>
      <w:r>
        <w:rPr>
          <w:rFonts w:hint="eastAsia" w:cs="仿宋_GB2312"/>
          <w:color w:val="auto"/>
          <w:szCs w:val="32"/>
        </w:rPr>
        <w:t>卷宗</w:t>
      </w:r>
      <w:r>
        <w:rPr>
          <w:rFonts w:hint="eastAsia" w:cs="仿宋_GB2312"/>
          <w:color w:val="auto"/>
          <w:szCs w:val="32"/>
          <w:lang w:val="en-US" w:eastAsia="zh-CN"/>
        </w:rPr>
        <w:t>二</w:t>
      </w:r>
      <w:r>
        <w:rPr>
          <w:rFonts w:hint="eastAsia" w:cs="仿宋_GB2312"/>
          <w:color w:val="auto"/>
          <w:szCs w:val="32"/>
        </w:rPr>
        <w:t>册</w:t>
      </w:r>
    </w:p>
    <w:p>
      <w:pPr>
        <w:pStyle w:val="5"/>
        <w:widowControl w:val="0"/>
        <w:wordWrap/>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w:t>
      </w:r>
      <w:r>
        <w:rPr>
          <w:rFonts w:hint="eastAsia" w:cs="仿宋_GB2312"/>
          <w:color w:val="auto"/>
          <w:szCs w:val="32"/>
          <w:lang w:eastAsia="zh-CN"/>
        </w:rPr>
        <w:t>假释</w:t>
      </w:r>
      <w:r>
        <w:rPr>
          <w:rFonts w:hint="eastAsia" w:cs="仿宋_GB2312"/>
          <w:color w:val="auto"/>
          <w:szCs w:val="32"/>
        </w:rPr>
        <w:t>建议书</w:t>
      </w:r>
      <w:r>
        <w:rPr>
          <w:rFonts w:hint="eastAsia" w:cs="仿宋_GB2312"/>
          <w:color w:val="auto"/>
          <w:szCs w:val="32"/>
          <w:lang w:eastAsia="zh-CN"/>
        </w:rPr>
        <w:t>五</w:t>
      </w:r>
      <w:r>
        <w:rPr>
          <w:rFonts w:hint="eastAsia" w:cs="仿宋_GB2312"/>
          <w:color w:val="auto"/>
          <w:szCs w:val="32"/>
        </w:rPr>
        <w:t>份</w:t>
      </w:r>
    </w:p>
    <w:p>
      <w:pPr>
        <w:pStyle w:val="4"/>
        <w:widowControl w:val="0"/>
        <w:wordWrap/>
        <w:spacing w:line="430" w:lineRule="exact"/>
        <w:ind w:left="640" w:right="-48" w:rightChars="-15"/>
        <w:jc w:val="both"/>
        <w:textAlignment w:val="auto"/>
        <w:rPr>
          <w:rFonts w:hint="eastAsia"/>
          <w:color w:val="auto"/>
          <w:szCs w:val="32"/>
        </w:rPr>
      </w:pPr>
    </w:p>
    <w:p>
      <w:pPr>
        <w:pStyle w:val="4"/>
        <w:widowControl w:val="0"/>
        <w:wordWrap/>
        <w:adjustRightInd/>
        <w:snapToGrid/>
        <w:spacing w:line="430" w:lineRule="exact"/>
        <w:ind w:left="0" w:right="1280" w:rightChars="400"/>
        <w:jc w:val="right"/>
        <w:textAlignment w:val="auto"/>
        <w:rPr>
          <w:color w:val="auto"/>
          <w:szCs w:val="32"/>
        </w:rPr>
      </w:pPr>
      <w:r>
        <w:rPr>
          <w:rFonts w:hint="eastAsia"/>
          <w:color w:val="auto"/>
          <w:szCs w:val="32"/>
        </w:rPr>
        <w:t>福建省</w:t>
      </w:r>
      <w:r>
        <w:rPr>
          <w:rFonts w:hint="eastAsia"/>
          <w:color w:val="auto"/>
          <w:szCs w:val="32"/>
          <w:lang w:val="en-US" w:eastAsia="zh-CN"/>
        </w:rPr>
        <w:t>武夷山</w:t>
      </w:r>
      <w:r>
        <w:rPr>
          <w:rFonts w:hint="eastAsia"/>
          <w:color w:val="auto"/>
          <w:szCs w:val="32"/>
        </w:rPr>
        <w:t>监狱</w:t>
      </w:r>
    </w:p>
    <w:p>
      <w:pPr>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rFonts w:hint="default" w:ascii="Times New Roman" w:hAnsi="Times New Roman" w:eastAsia="仿宋_GB2312" w:cs="Times New Roman"/>
          <w:color w:val="auto"/>
          <w:kern w:val="32"/>
          <w:sz w:val="32"/>
          <w:szCs w:val="32"/>
          <w:lang w:val="en-US" w:eastAsia="zh-CN" w:bidi="ar-SA"/>
        </w:rPr>
      </w:pPr>
      <w:r>
        <w:rPr>
          <w:rFonts w:hint="eastAsia" w:ascii="Times New Roman" w:hAnsi="Times New Roman" w:eastAsia="仿宋_GB2312" w:cs="Times New Roman"/>
          <w:color w:val="auto"/>
          <w:kern w:val="32"/>
          <w:sz w:val="32"/>
          <w:szCs w:val="32"/>
          <w:lang w:val="en-US" w:eastAsia="zh-CN" w:bidi="ar-SA"/>
        </w:rPr>
        <w:t>2026年1月19日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E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602020202090204"/>
    <w:charset w:val="00"/>
    <w:family w:val="auto"/>
    <w:pitch w:val="default"/>
    <w:sig w:usb0="00000287" w:usb1="00000000" w:usb2="00000000" w:usb3="00000000" w:csb0="2000009F" w:csb1="DFD7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77D73FB"/>
    <w:rsid w:val="3C8F15B5"/>
    <w:rsid w:val="5FE5F1B0"/>
    <w:rsid w:val="7B3F3746"/>
    <w:rsid w:val="7E7DF85A"/>
    <w:rsid w:val="BB3781D5"/>
    <w:rsid w:val="F7F7BFC8"/>
    <w:rsid w:val="FD7EF46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3">
    <w:name w:val="Default Paragraph Font"/>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Salutation"/>
    <w:basedOn w:val="1"/>
    <w:next w:val="1"/>
    <w:qFormat/>
    <w:uiPriority w:val="0"/>
  </w:style>
  <w:style w:type="paragraph" w:customStyle="1" w:styleId="5">
    <w:name w:val="列表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2014-10-31T20:08:00Z</dcterms:created>
  <dc:creator>hp</dc:creator>
  <cp:lastModifiedBy>uosuser</cp:lastModifiedBy>
  <cp:lastPrinted>2025-07-06T17:21:00Z</cp:lastPrinted>
  <dcterms:modified xsi:type="dcterms:W3CDTF">2026-01-14T11:50:28Z</dcterms:modified>
  <dc:title>福建省武夷山监狱</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6CD3447B24D34F5D8F616A18C6AEB7CA</vt:lpwstr>
  </property>
</Properties>
</file>